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2"/>
          <w:szCs w:val="32"/>
        </w:rPr>
        <w:t xml:space="preserve">THE RWANDAN NATIONAL'S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Mukamba &amp; Company Advocates' guides for Rwandan investors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Rwandan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All foreign documents require full consular legalisation through your country's authentication chain and the Kenyan High Commission or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Rwandan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Rwandan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Work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Only needed if a director will relocate to Kenya to actively manage the business.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2026-08-19T07:28:17.982Z</dcterms:created>
  <dcterms:modified xsi:type="dcterms:W3CDTF">2026-08-19T07:28:17.998Z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