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Georgia" w:cs="Georgia" w:eastAsia="Georgia" w:hAnsi="Georgia"/>
          <w:b/>
          <w:bCs/>
          <w:color w:val="1B2E4B"/>
          <w:sz w:val="32"/>
          <w:szCs w:val="32"/>
        </w:rPr>
        <w:t xml:space="preserve">THE SOMALI NATIONAL'S DOCUMENT CHECKLIST</w:t>
      </w:r>
    </w:p>
    <w:p>
      <w:pPr>
        <w:spacing w:after="40"/>
        <w:jc w:val="center"/>
      </w:pPr>
      <w:r>
        <w:rPr>
          <w:rFonts w:ascii="Georgia" w:cs="Georgia" w:eastAsia="Georgia" w:hAnsi="Georgia"/>
          <w:b/>
          <w:bCs/>
          <w:i/>
          <w:iCs/>
          <w:color w:val="B8972E"/>
          <w:sz w:val="24"/>
          <w:szCs w:val="24"/>
        </w:rPr>
        <w:t xml:space="preserve">For Kenyan Company Registration</w:t>
      </w:r>
    </w:p>
    <w:p>
      <w:pPr>
        <w:pBdr>
          <w:bottom w:val="single" w:color="B8972E" w:sz="12" w:space="6"/>
        </w:pBdr>
        <w:spacing w:after="240"/>
        <w:jc w:val="center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A companion checklist to Mukamba &amp; Company Advocates' guides for Somali investors</w:t>
      </w:r>
    </w:p>
    <w:p>
      <w:pPr>
        <w:spacing w:after="20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Use this checklist to prepare everything needed before filing, so your Kenyan company registration moves through BRS without a Registrar query or delay. Tick each item as you gather it.</w:t>
      </w:r>
    </w:p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1. Identity Documents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copy of your Somali passport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Notarisation must be current — BRS reviews the date.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proof of address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Utility bill or bank statement, less than 3 months old.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Consular legalisation of notarised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Kenya is not a party to the Hague Apostille Convention. All foreign documents require full consular legalisation through your country's authentication chain and the Kenyan High Commission or Embassy — a simple apostille will not be accepted.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2. Company Details to Decide in Advance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Three proposed company names, in order of preference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Registered office address in Kenya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A physical address — a P.O. Box will be rejected.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Director(s) and shareholder(s) — full legal names and roles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One director and one shareholder is sufficient; you may be both.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Nominal share capital amount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No minimum is required by law, but the figure must be stated.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3. If a Somali Company Is the Shareholder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Notarised certificate of incorporation of the Somali parent company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Board resolution approving the Kenyan subsidiary and authorising a signatory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4. Statutory Filings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Beneficial ownership declaration details ready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Who ultimately owns and controls the company — mandatory under section 93A of the Companies Act, 2015.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Constitutional documents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BRS Model Articles are sufficient for most SMEs; bespoke Articles if you need custom share terms.</w:t>
            </w:r>
          </w:p>
        </w:tc>
      </w:tr>
    </w:tbl>
    <w:p>
      <w:pPr>
        <w:pStyle w:val="Heading2"/>
        <w:pBdr>
          <w:bottom w:val="single" w:color="B8972E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5. After the Certificate of Incorporation</w:t>
      </w:r>
    </w:p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KRA PIN registration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Needed before you can open a bank account or hire staff.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Kenyan bank account (KES and, if needed, USD)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Most banks require an in-person visit or an authorised local signatory.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DDDDDD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8%"/>
            <w:tcMar>
              <w:top w:type="dxa" w:w="120"/>
              <w:bottom w:type="dxa" w:w="120"/>
            </w:tcMar>
          </w:tcPr>
          <w:p>
            <w:r>
              <w:rPr>
                <w:color w:val="1B2E4B"/>
                <w:sz w:val="28"/>
                <w:szCs w:val="28"/>
              </w:rPr>
              <w:t xml:space="preserve">☐</w:t>
            </w:r>
          </w:p>
        </w:tc>
        <w:tc>
          <w:tcPr>
            <w:tcW w:type="pct" w:w="92%"/>
            <w:tcMar>
              <w:top w:type="dxa" w:w="120"/>
              <w:bottom w:type="dxa" w:w="120"/>
              <w:right w:type="dxa" w:w="100"/>
            </w:tcMar>
          </w:tcPr>
          <w:p>
            <w:r>
              <w:rPr>
                <w:rFonts w:ascii="Georgia" w:cs="Georgia" w:eastAsia="Georgia" w:hAnsi="Georgia"/>
                <w:b/>
                <w:bCs/>
                <w:color w:val="222222"/>
                <w:sz w:val="22"/>
                <w:szCs w:val="22"/>
              </w:rPr>
              <w:t xml:space="preserve">Work permit assessment</w:t>
            </w:r>
          </w:p>
          <w:p>
            <w:pPr>
              <w:spacing w:before="40"/>
            </w:pPr>
            <w:r>
              <w:rPr>
                <w:rFonts w:ascii="Calibri" w:cs="Calibri" w:eastAsia="Calibri" w:hAnsi="Calibri"/>
                <w:i/>
                <w:iCs/>
                <w:color w:val="555555"/>
                <w:sz w:val="19"/>
                <w:szCs w:val="19"/>
              </w:rPr>
              <w:t xml:space="preserve">Only needed if a director will relocate to Kenya to actively manage the business.</w:t>
            </w:r>
          </w:p>
        </w:tc>
      </w:tr>
    </w:tbl>
    <w:p>
      <w:pPr>
        <w:pBdr>
          <w:top w:val="single" w:color="B8972E" w:sz="12" w:space="8"/>
        </w:pBdr>
        <w:spacing w:before="320"/>
      </w:pPr>
    </w:p>
    <w:p>
      <w:pPr>
        <w:spacing w:after="100" w:before="200"/>
        <w:jc w:val="center"/>
      </w:pPr>
      <w:r>
        <w:rPr>
          <w:rFonts w:ascii="Georgia" w:cs="Georgia" w:eastAsia="Georgia" w:hAnsi="Georgia"/>
          <w:b/>
          <w:bCs/>
          <w:color w:val="1B2E4B"/>
          <w:sz w:val="24"/>
          <w:szCs w:val="24"/>
        </w:rPr>
        <w:t xml:space="preserve">Want us to handle this checklist for you?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Free 20-minute consultation on your Kenyan company registration.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Call +254 706 223 157 or +254 797 450 653  |  Email info@mukambalaw.com</w:t>
      </w:r>
    </w:p>
    <w:p>
      <w:pPr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West Park Towers, Mpesi Lane, Westlands, Nairobi</w:t>
      </w:r>
    </w:p>
    <w:p>
      <w:pPr>
        <w:spacing w:before="30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This checklist is for general information only and does not constitute legal advice for any individual case. Requirements can change; confirm current BRS requirements before filing.</w:t>
      </w:r>
    </w:p>
    <w:sectPr>
      <w:headerReference w:type="default" r:id="rId7"/>
      <w:footerReference w:type="default" r:id="rId8"/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55555"/>
        <w:sz w:val="15"/>
        <w:szCs w:val="15"/>
      </w:rPr>
      <w:t xml:space="preserve">Mukamba &amp; Company Advocates  |  West Park Towers, Mpesi Lane, Westlands, Nairobi  |  info@mukambalaw.com  |  +254 706 223 157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972E" w:sz="6" w:space="4"/>
      </w:pBdr>
      <w:jc w:val="right"/>
    </w:pPr>
    <w:r>
      <w:rPr>
        <w:rFonts w:ascii="Calibri" w:cs="Calibri" w:eastAsia="Calibri" w:hAnsi="Calibri"/>
        <w:b/>
        <w:bCs/>
        <w:color w:val="1B2E4B"/>
        <w:sz w:val="16"/>
        <w:szCs w:val="16"/>
      </w:rPr>
      <w:t xml:space="preserve">MUKAMBA &amp; COMPANY ADVOCATES — FREE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2026-08-19T07:28:18.334Z</dcterms:created>
  <dcterms:modified xsi:type="dcterms:W3CDTF">2026-08-19T07:28:18.334Z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